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79772" w14:textId="77777777" w:rsidR="00D801E0" w:rsidRDefault="00000000">
      <w:pPr>
        <w:spacing w:before="157" w:after="157" w:line="270" w:lineRule="auto"/>
      </w:pPr>
      <w:r>
        <w:rPr>
          <w:rFonts w:ascii="inter" w:eastAsia="inter" w:hAnsi="inter" w:cs="inter"/>
          <w:b/>
          <w:color w:val="000000"/>
          <w:sz w:val="39"/>
        </w:rPr>
        <w:t>From Vision to Impact: Launching Doctor Vermeille Global EdTech &amp; Research</w:t>
      </w:r>
    </w:p>
    <w:p w14:paraId="1779DD70" w14:textId="77777777" w:rsidR="00D801E0" w:rsidRDefault="00000000">
      <w:pPr>
        <w:spacing w:before="315" w:after="105" w:line="360" w:lineRule="auto"/>
        <w:ind w:left="-30"/>
      </w:pPr>
      <w:r>
        <w:rPr>
          <w:rFonts w:ascii="inter" w:eastAsia="inter" w:hAnsi="inter" w:cs="inter"/>
          <w:b/>
          <w:color w:val="000000"/>
          <w:sz w:val="24"/>
        </w:rPr>
        <w:t>Welcome to a New Chapter in Educational Equity</w:t>
      </w:r>
    </w:p>
    <w:p w14:paraId="3930D02E" w14:textId="77777777" w:rsidR="00D801E0" w:rsidRDefault="00000000">
      <w:pPr>
        <w:spacing w:after="210" w:line="360" w:lineRule="auto"/>
      </w:pPr>
      <w:r>
        <w:rPr>
          <w:rFonts w:ascii="inter" w:eastAsia="inter" w:hAnsi="inter" w:cs="inter"/>
          <w:color w:val="000000"/>
        </w:rPr>
        <w:t>Every student deserves access to tomorrow’s technology—today. Across the globe, the digital divide is more than a technology gap; it’s an equity crisis. With this conviction, we launch Doctor Vermeille Global EdTech &amp; Research LLC to ensure every learner, regardless of geography or circumstance, can harness the power of educational technology.</w:t>
      </w:r>
    </w:p>
    <w:p w14:paraId="20AF3AEC" w14:textId="77777777" w:rsidR="00D801E0" w:rsidRDefault="00000000">
      <w:pPr>
        <w:spacing w:before="315" w:after="105" w:line="360" w:lineRule="auto"/>
        <w:ind w:left="-30"/>
      </w:pPr>
      <w:r>
        <w:rPr>
          <w:rFonts w:ascii="inter" w:eastAsia="inter" w:hAnsi="inter" w:cs="inter"/>
          <w:b/>
          <w:color w:val="000000"/>
          <w:sz w:val="24"/>
        </w:rPr>
        <w:t>The Story Behind Our Mission</w:t>
      </w:r>
    </w:p>
    <w:p w14:paraId="7D742AC6" w14:textId="0AF7C8C3" w:rsidR="00D801E0" w:rsidRDefault="00000000">
      <w:pPr>
        <w:spacing w:after="210" w:line="360" w:lineRule="auto"/>
      </w:pPr>
      <w:r>
        <w:rPr>
          <w:rFonts w:ascii="inter" w:eastAsia="inter" w:hAnsi="inter" w:cs="inter"/>
          <w:color w:val="000000"/>
        </w:rPr>
        <w:t>Dr. Joseph K. Vermeille’s journey began in rural classrooms</w:t>
      </w:r>
      <w:r w:rsidR="000D4FDC">
        <w:rPr>
          <w:rFonts w:ascii="inter" w:eastAsia="inter" w:hAnsi="inter" w:cs="inter"/>
          <w:color w:val="000000"/>
        </w:rPr>
        <w:t xml:space="preserve"> in Haiti</w:t>
      </w:r>
      <w:r>
        <w:rPr>
          <w:rFonts w:ascii="inter" w:eastAsia="inter" w:hAnsi="inter" w:cs="inter"/>
          <w:color w:val="000000"/>
        </w:rPr>
        <w:t>,</w:t>
      </w:r>
      <w:r w:rsidR="000D4FDC">
        <w:rPr>
          <w:rFonts w:ascii="inter" w:eastAsia="inter" w:hAnsi="inter" w:cs="inter"/>
          <w:color w:val="000000"/>
        </w:rPr>
        <w:t xml:space="preserve"> </w:t>
      </w:r>
      <w:r>
        <w:rPr>
          <w:rFonts w:ascii="inter" w:eastAsia="inter" w:hAnsi="inter" w:cs="inter"/>
          <w:color w:val="000000"/>
        </w:rPr>
        <w:t xml:space="preserve">learning by lantern light without electricity or modern tools. Through perseverance, he built a career spanning over twenty years as an IT professional at Columbia University in New York City. This extraordinary path—from no-tech environments to advanced academic </w:t>
      </w:r>
      <w:r w:rsidR="00DF55E1">
        <w:rPr>
          <w:rFonts w:ascii="inter" w:eastAsia="inter" w:hAnsi="inter" w:cs="inter"/>
          <w:color w:val="000000"/>
        </w:rPr>
        <w:t xml:space="preserve">setting </w:t>
      </w:r>
      <w:r>
        <w:rPr>
          <w:rFonts w:ascii="inter" w:eastAsia="inter" w:hAnsi="inter" w:cs="inter"/>
          <w:color w:val="000000"/>
        </w:rPr>
        <w:t>revealed a simple truth: brilliance is universal, but equal access to transformative educational tools is not. Our organization exists to overturn that inequality, championing educational equity, inclusion, and opportunity for all (Vermeille, 2025a).</w:t>
      </w:r>
    </w:p>
    <w:p w14:paraId="6C99F33A" w14:textId="77777777" w:rsidR="00D801E0" w:rsidRDefault="00000000">
      <w:pPr>
        <w:spacing w:before="315" w:after="105" w:line="360" w:lineRule="auto"/>
        <w:ind w:left="-30"/>
      </w:pPr>
      <w:r>
        <w:rPr>
          <w:rFonts w:ascii="inter" w:eastAsia="inter" w:hAnsi="inter" w:cs="inter"/>
          <w:b/>
          <w:color w:val="000000"/>
          <w:sz w:val="24"/>
        </w:rPr>
        <w:t>Our North Star: Vision and Mission</w:t>
      </w:r>
    </w:p>
    <w:p w14:paraId="6914D74D" w14:textId="77777777" w:rsidR="00D801E0" w:rsidRDefault="00000000">
      <w:pPr>
        <w:spacing w:after="210" w:line="360" w:lineRule="auto"/>
      </w:pPr>
      <w:r>
        <w:rPr>
          <w:rFonts w:ascii="inter" w:eastAsia="inter" w:hAnsi="inter" w:cs="inter"/>
          <w:b/>
          <w:color w:val="000000"/>
        </w:rPr>
        <w:t>Vision:</w:t>
      </w:r>
      <w:r>
        <w:rPr>
          <w:rFonts w:ascii="inter" w:eastAsia="inter" w:hAnsi="inter" w:cs="inter"/>
          <w:color w:val="000000"/>
        </w:rPr>
        <w:br/>
        <w:t>To become the leading global authority on educational technology equity, empowering educators and learners worldwide through innovative research, comprehensive resources, and strategic partnerships.</w:t>
      </w:r>
    </w:p>
    <w:p w14:paraId="5F94A014" w14:textId="77777777" w:rsidR="00D801E0" w:rsidRDefault="00000000">
      <w:pPr>
        <w:spacing w:after="210" w:line="360" w:lineRule="auto"/>
      </w:pPr>
      <w:r>
        <w:rPr>
          <w:rFonts w:ascii="inter" w:eastAsia="inter" w:hAnsi="inter" w:cs="inter"/>
          <w:b/>
          <w:color w:val="000000"/>
        </w:rPr>
        <w:t>Mission:</w:t>
      </w:r>
      <w:r>
        <w:rPr>
          <w:rFonts w:ascii="inter" w:eastAsia="inter" w:hAnsi="inter" w:cs="inter"/>
          <w:color w:val="000000"/>
        </w:rPr>
        <w:br/>
        <w:t>To democratize access to educational technology globally by providing research-driven solutions, multilingual educational content, and knowledge brokering services that bridge the digital divide.</w:t>
      </w:r>
    </w:p>
    <w:p w14:paraId="63CE09D0" w14:textId="77777777" w:rsidR="00D801E0" w:rsidRDefault="00000000">
      <w:pPr>
        <w:spacing w:before="315" w:after="105" w:line="360" w:lineRule="auto"/>
        <w:ind w:left="-30"/>
      </w:pPr>
      <w:r>
        <w:rPr>
          <w:rFonts w:ascii="inter" w:eastAsia="inter" w:hAnsi="inter" w:cs="inter"/>
          <w:b/>
          <w:color w:val="000000"/>
          <w:sz w:val="24"/>
        </w:rPr>
        <w:t>Our Foundational Works</w:t>
      </w:r>
    </w:p>
    <w:p w14:paraId="725B55A3" w14:textId="77777777" w:rsidR="00D801E0" w:rsidRDefault="00000000">
      <w:pPr>
        <w:spacing w:after="210" w:line="360" w:lineRule="auto"/>
      </w:pPr>
      <w:r>
        <w:rPr>
          <w:rFonts w:ascii="inter" w:eastAsia="inter" w:hAnsi="inter" w:cs="inter"/>
          <w:color w:val="000000"/>
        </w:rPr>
        <w:t>Our foundation rests on three cornerstone works by Dr. Vermeille, serving both theory and practice for diverse K-12 educators:</w:t>
      </w:r>
    </w:p>
    <w:p w14:paraId="34F14FB1" w14:textId="77777777" w:rsidR="00D801E0" w:rsidRDefault="00000000">
      <w:pPr>
        <w:numPr>
          <w:ilvl w:val="0"/>
          <w:numId w:val="1"/>
        </w:numPr>
        <w:spacing w:after="210" w:line="360" w:lineRule="auto"/>
      </w:pPr>
      <w:r>
        <w:rPr>
          <w:rFonts w:ascii="inter" w:eastAsia="inter" w:hAnsi="inter" w:cs="inter"/>
          <w:b/>
          <w:color w:val="000000"/>
        </w:rPr>
        <w:t>A Comprehensive K-12 Educational Technology Framework for the 21st Century</w:t>
      </w:r>
      <w:r>
        <w:rPr>
          <w:rFonts w:ascii="inter" w:eastAsia="inter" w:hAnsi="inter" w:cs="inter"/>
          <w:color w:val="000000"/>
        </w:rPr>
        <w:br/>
        <w:t xml:space="preserve">A resource that synthesizes constructivist learning theory, digital divide strategies, and actionable case studies for using EdTech in high-tech, low-tech, and no-tech settings. It provides a </w:t>
      </w:r>
      <w:r>
        <w:rPr>
          <w:rFonts w:ascii="inter" w:eastAsia="inter" w:hAnsi="inter" w:cs="inter"/>
          <w:color w:val="000000"/>
        </w:rPr>
        <w:lastRenderedPageBreak/>
        <w:t>comprehensive roadmap for inclusive education and leveraging technology to bridge global gaps (Vermeille, 2025a).</w:t>
      </w:r>
    </w:p>
    <w:p w14:paraId="288B0E59" w14:textId="77777777" w:rsidR="00D801E0" w:rsidRDefault="00000000">
      <w:pPr>
        <w:numPr>
          <w:ilvl w:val="0"/>
          <w:numId w:val="1"/>
        </w:numPr>
        <w:spacing w:after="210" w:line="360" w:lineRule="auto"/>
      </w:pPr>
      <w:r>
        <w:rPr>
          <w:rFonts w:ascii="inter" w:eastAsia="inter" w:hAnsi="inter" w:cs="inter"/>
          <w:b/>
          <w:color w:val="000000"/>
        </w:rPr>
        <w:t>Emergency Preparedness for K-12 Online Teaching</w:t>
      </w:r>
      <w:r>
        <w:rPr>
          <w:rFonts w:ascii="inter" w:eastAsia="inter" w:hAnsi="inter" w:cs="inter"/>
          <w:color w:val="000000"/>
        </w:rPr>
        <w:br/>
        <w:t>Guidance for ensuring instructional continuity during crises—offering proven models for resilience and adaptability in any learning environment (Vermeille, 2025b).</w:t>
      </w:r>
    </w:p>
    <w:p w14:paraId="79B22606" w14:textId="77777777" w:rsidR="00D801E0" w:rsidRDefault="00000000">
      <w:pPr>
        <w:numPr>
          <w:ilvl w:val="0"/>
          <w:numId w:val="1"/>
        </w:numPr>
        <w:spacing w:after="210" w:line="360" w:lineRule="auto"/>
      </w:pPr>
      <w:r>
        <w:rPr>
          <w:rFonts w:ascii="inter" w:eastAsia="inter" w:hAnsi="inter" w:cs="inter"/>
          <w:b/>
          <w:color w:val="000000"/>
        </w:rPr>
        <w:t>AI, A Blessing or a Curse for Humanity</w:t>
      </w:r>
      <w:r>
        <w:rPr>
          <w:rFonts w:ascii="inter" w:eastAsia="inter" w:hAnsi="inter" w:cs="inter"/>
          <w:color w:val="000000"/>
        </w:rPr>
        <w:br/>
        <w:t>An accessible, timely exploration of artificial intelligence’s classroom, social, and ethical impacts, equipping educators and society to leverage AI for the good of all learners (Vermeille, 2025c).</w:t>
      </w:r>
    </w:p>
    <w:p w14:paraId="4269AF23" w14:textId="77777777" w:rsidR="00D801E0" w:rsidRDefault="00000000">
      <w:pPr>
        <w:spacing w:after="210" w:line="360" w:lineRule="auto"/>
      </w:pPr>
      <w:r>
        <w:rPr>
          <w:rFonts w:ascii="inter" w:eastAsia="inter" w:hAnsi="inter" w:cs="inter"/>
          <w:i/>
          <w:color w:val="000000"/>
        </w:rPr>
        <w:t>French-language editions of these works are forthcoming, reflecting our commitment to multilingual, inclusive access.</w:t>
      </w:r>
    </w:p>
    <w:p w14:paraId="6B70AE66" w14:textId="77777777" w:rsidR="00D801E0" w:rsidRDefault="00000000">
      <w:pPr>
        <w:spacing w:before="315" w:after="105" w:line="360" w:lineRule="auto"/>
        <w:ind w:left="-30"/>
      </w:pPr>
      <w:r>
        <w:rPr>
          <w:rFonts w:ascii="inter" w:eastAsia="inter" w:hAnsi="inter" w:cs="inter"/>
          <w:b/>
          <w:color w:val="000000"/>
          <w:sz w:val="24"/>
        </w:rPr>
        <w:t>What Sets Us Apart</w:t>
      </w:r>
    </w:p>
    <w:p w14:paraId="5CDF7358" w14:textId="77777777" w:rsidR="00D801E0" w:rsidRDefault="00000000">
      <w:pPr>
        <w:numPr>
          <w:ilvl w:val="0"/>
          <w:numId w:val="2"/>
        </w:numPr>
        <w:spacing w:before="105" w:after="105" w:line="360" w:lineRule="auto"/>
      </w:pPr>
      <w:r>
        <w:rPr>
          <w:rFonts w:ascii="inter" w:eastAsia="inter" w:hAnsi="inter" w:cs="inter"/>
          <w:b/>
          <w:color w:val="000000"/>
        </w:rPr>
        <w:t>Research-Driven Solutions:</w:t>
      </w:r>
      <w:r>
        <w:rPr>
          <w:rFonts w:ascii="inter" w:eastAsia="inter" w:hAnsi="inter" w:cs="inter"/>
          <w:color w:val="000000"/>
        </w:rPr>
        <w:t xml:space="preserve"> Grounded in rigorous research and informed by field-tested practice (Vermeille, 2024, 2025a, 2025b, 2025c).</w:t>
      </w:r>
    </w:p>
    <w:p w14:paraId="0358CD37" w14:textId="77777777" w:rsidR="00D801E0" w:rsidRDefault="00000000">
      <w:pPr>
        <w:numPr>
          <w:ilvl w:val="0"/>
          <w:numId w:val="2"/>
        </w:numPr>
        <w:spacing w:before="105" w:after="105" w:line="360" w:lineRule="auto"/>
      </w:pPr>
      <w:r>
        <w:rPr>
          <w:rFonts w:ascii="inter" w:eastAsia="inter" w:hAnsi="inter" w:cs="inter"/>
          <w:b/>
          <w:color w:val="000000"/>
        </w:rPr>
        <w:t>Multilingual, Global Focus:</w:t>
      </w:r>
      <w:r>
        <w:rPr>
          <w:rFonts w:ascii="inter" w:eastAsia="inter" w:hAnsi="inter" w:cs="inter"/>
          <w:color w:val="000000"/>
        </w:rPr>
        <w:t xml:space="preserve"> Resources are available in English, French, and Haitian Creole, breaking language barriers.</w:t>
      </w:r>
    </w:p>
    <w:p w14:paraId="00C56D15" w14:textId="77777777" w:rsidR="00D801E0" w:rsidRDefault="00000000">
      <w:pPr>
        <w:numPr>
          <w:ilvl w:val="0"/>
          <w:numId w:val="2"/>
        </w:numPr>
        <w:spacing w:before="105" w:after="105" w:line="360" w:lineRule="auto"/>
      </w:pPr>
      <w:r>
        <w:rPr>
          <w:rFonts w:ascii="inter" w:eastAsia="inter" w:hAnsi="inter" w:cs="inter"/>
          <w:b/>
          <w:color w:val="000000"/>
        </w:rPr>
        <w:t>Knowledge Brokering:</w:t>
      </w:r>
      <w:r>
        <w:rPr>
          <w:rFonts w:ascii="inter" w:eastAsia="inter" w:hAnsi="inter" w:cs="inter"/>
          <w:color w:val="000000"/>
        </w:rPr>
        <w:t xml:space="preserve"> We translate research into actionable strategies that close equity gaps.</w:t>
      </w:r>
    </w:p>
    <w:p w14:paraId="30F677A7" w14:textId="77777777" w:rsidR="00D801E0" w:rsidRDefault="00000000">
      <w:pPr>
        <w:numPr>
          <w:ilvl w:val="0"/>
          <w:numId w:val="2"/>
        </w:numPr>
        <w:spacing w:before="105" w:after="105" w:line="360" w:lineRule="auto"/>
      </w:pPr>
      <w:r>
        <w:rPr>
          <w:rFonts w:ascii="inter" w:eastAsia="inter" w:hAnsi="inter" w:cs="inter"/>
          <w:b/>
          <w:color w:val="000000"/>
        </w:rPr>
        <w:t>Equity at the Center:</w:t>
      </w:r>
      <w:r>
        <w:rPr>
          <w:rFonts w:ascii="inter" w:eastAsia="inter" w:hAnsi="inter" w:cs="inter"/>
          <w:color w:val="000000"/>
        </w:rPr>
        <w:t xml:space="preserve"> Every initiative asks, “Will this help those most in need?”</w:t>
      </w:r>
    </w:p>
    <w:p w14:paraId="7A58FDE9" w14:textId="77777777" w:rsidR="00D801E0" w:rsidRDefault="00000000">
      <w:pPr>
        <w:spacing w:before="315" w:after="105" w:line="360" w:lineRule="auto"/>
        <w:ind w:left="-30"/>
      </w:pPr>
      <w:r>
        <w:rPr>
          <w:rFonts w:ascii="inter" w:eastAsia="inter" w:hAnsi="inter" w:cs="inter"/>
          <w:b/>
          <w:color w:val="000000"/>
          <w:sz w:val="24"/>
        </w:rPr>
        <w:t>Ready to Serve: Core Offerings</w:t>
      </w:r>
    </w:p>
    <w:p w14:paraId="4311BA7C" w14:textId="22D04FEA" w:rsidR="00D801E0" w:rsidRDefault="00000000">
      <w:pPr>
        <w:spacing w:before="315" w:after="105" w:line="360" w:lineRule="auto"/>
        <w:ind w:left="-30"/>
      </w:pPr>
      <w:r>
        <w:rPr>
          <w:rFonts w:ascii="inter" w:eastAsia="inter" w:hAnsi="inter" w:cs="inter"/>
          <w:b/>
          <w:color w:val="000000"/>
          <w:sz w:val="24"/>
        </w:rPr>
        <w:t xml:space="preserve">Available </w:t>
      </w:r>
      <w:r w:rsidR="000D4FDC">
        <w:rPr>
          <w:rFonts w:ascii="inter" w:eastAsia="inter" w:hAnsi="inter" w:cs="inter"/>
          <w:b/>
          <w:color w:val="000000"/>
          <w:sz w:val="24"/>
        </w:rPr>
        <w:t>Soon</w:t>
      </w:r>
    </w:p>
    <w:p w14:paraId="1A2BF965" w14:textId="77777777" w:rsidR="00D801E0" w:rsidRDefault="00000000">
      <w:pPr>
        <w:numPr>
          <w:ilvl w:val="0"/>
          <w:numId w:val="3"/>
        </w:numPr>
        <w:spacing w:after="210" w:line="360" w:lineRule="auto"/>
      </w:pPr>
      <w:r>
        <w:rPr>
          <w:rFonts w:ascii="inter" w:eastAsia="inter" w:hAnsi="inter" w:cs="inter"/>
          <w:b/>
          <w:color w:val="000000"/>
        </w:rPr>
        <w:t>AI &amp; Technology Literacy Courses (English, French, Haitian Creole)</w:t>
      </w:r>
      <w:r>
        <w:rPr>
          <w:rFonts w:ascii="inter" w:eastAsia="inter" w:hAnsi="inter" w:cs="inter"/>
          <w:color w:val="000000"/>
        </w:rPr>
        <w:br/>
        <w:t>Interactive training designed to empower educators, students, and professionals with essential knowledge of artificial intelligence and digital tools. Courses are tailored to multiple proficiency levels and available in English, French, and Haitian Creole.</w:t>
      </w:r>
    </w:p>
    <w:p w14:paraId="240B6312" w14:textId="77777777" w:rsidR="00D801E0" w:rsidRDefault="00000000">
      <w:pPr>
        <w:numPr>
          <w:ilvl w:val="0"/>
          <w:numId w:val="3"/>
        </w:numPr>
        <w:spacing w:after="210" w:line="360" w:lineRule="auto"/>
      </w:pPr>
      <w:r>
        <w:rPr>
          <w:rFonts w:ascii="inter" w:eastAsia="inter" w:hAnsi="inter" w:cs="inter"/>
          <w:b/>
          <w:color w:val="000000"/>
        </w:rPr>
        <w:t>AI &amp; Technology Literacy Webinars (English, French, Haitian Creole)</w:t>
      </w:r>
      <w:r>
        <w:rPr>
          <w:rFonts w:ascii="inter" w:eastAsia="inter" w:hAnsi="inter" w:cs="inter"/>
          <w:color w:val="000000"/>
        </w:rPr>
        <w:br/>
        <w:t>Live and on-demand webinars covering the fundamentals of AI, digital transformation in education, ethics, and best practices. Delivered monthly in three languages for broad global accessibility.</w:t>
      </w:r>
    </w:p>
    <w:p w14:paraId="4F0443C2" w14:textId="77777777" w:rsidR="00D801E0" w:rsidRDefault="00000000">
      <w:pPr>
        <w:numPr>
          <w:ilvl w:val="0"/>
          <w:numId w:val="3"/>
        </w:numPr>
        <w:spacing w:after="210" w:line="360" w:lineRule="auto"/>
      </w:pPr>
      <w:r>
        <w:rPr>
          <w:rFonts w:ascii="inter" w:eastAsia="inter" w:hAnsi="inter" w:cs="inter"/>
          <w:b/>
          <w:color w:val="000000"/>
        </w:rPr>
        <w:t>EDTECH Consulting (English, French, Haitian Creole)</w:t>
      </w:r>
      <w:r>
        <w:rPr>
          <w:rFonts w:ascii="inter" w:eastAsia="inter" w:hAnsi="inter" w:cs="inter"/>
          <w:color w:val="000000"/>
        </w:rPr>
        <w:br/>
        <w:t xml:space="preserve">Personalized consulting services that help educational institutions, businesses, and non-profits </w:t>
      </w:r>
      <w:r>
        <w:rPr>
          <w:rFonts w:ascii="inter" w:eastAsia="inter" w:hAnsi="inter" w:cs="inter"/>
          <w:color w:val="000000"/>
        </w:rPr>
        <w:lastRenderedPageBreak/>
        <w:t>successfully integrate technology, improve digital literacy, and design equitable learning environments—offered in all three languages.</w:t>
      </w:r>
    </w:p>
    <w:p w14:paraId="71A83C1F" w14:textId="77777777" w:rsidR="00D801E0" w:rsidRDefault="00000000">
      <w:pPr>
        <w:spacing w:before="315" w:after="105" w:line="360" w:lineRule="auto"/>
        <w:ind w:left="-30"/>
        <w:rPr>
          <w:rFonts w:ascii="inter" w:eastAsia="inter" w:hAnsi="inter" w:cs="inter"/>
          <w:b/>
          <w:color w:val="000000"/>
          <w:sz w:val="24"/>
        </w:rPr>
      </w:pPr>
      <w:r>
        <w:rPr>
          <w:rFonts w:ascii="inter" w:eastAsia="inter" w:hAnsi="inter" w:cs="inter"/>
          <w:b/>
          <w:color w:val="000000"/>
          <w:sz w:val="24"/>
        </w:rPr>
        <w:t>Coming Soon</w:t>
      </w:r>
    </w:p>
    <w:p w14:paraId="4FDEDE43" w14:textId="403FDFAE" w:rsidR="00DF55E1" w:rsidRDefault="00DF55E1" w:rsidP="00DF55E1">
      <w:pPr>
        <w:numPr>
          <w:ilvl w:val="0"/>
          <w:numId w:val="3"/>
        </w:numPr>
        <w:spacing w:after="210" w:line="360" w:lineRule="auto"/>
      </w:pPr>
      <w:r>
        <w:rPr>
          <w:rFonts w:ascii="inter" w:eastAsia="inter" w:hAnsi="inter" w:cs="inter"/>
          <w:b/>
          <w:color w:val="000000"/>
        </w:rPr>
        <w:t>Podcast on EDTECH and AI (English, French, Haitian Creole)</w:t>
      </w:r>
      <w:r>
        <w:rPr>
          <w:rFonts w:ascii="inter" w:eastAsia="inter" w:hAnsi="inter" w:cs="inter"/>
          <w:color w:val="000000"/>
        </w:rPr>
        <w:br/>
        <w:t>A multilingual podcast exploring the latest trends, challenges, and innovations in educational technology and artificial intelligence, featuring insights from global experts and frontline educators.</w:t>
      </w:r>
    </w:p>
    <w:p w14:paraId="5E175883" w14:textId="109CC478" w:rsidR="00D801E0" w:rsidRDefault="00000000">
      <w:pPr>
        <w:numPr>
          <w:ilvl w:val="0"/>
          <w:numId w:val="4"/>
        </w:numPr>
        <w:spacing w:after="210" w:line="360" w:lineRule="auto"/>
      </w:pPr>
      <w:r>
        <w:rPr>
          <w:rFonts w:ascii="inter" w:eastAsia="inter" w:hAnsi="inter" w:cs="inter"/>
          <w:b/>
          <w:color w:val="000000"/>
        </w:rPr>
        <w:t>Research</w:t>
      </w:r>
      <w:r w:rsidR="00DF55E1">
        <w:rPr>
          <w:rFonts w:ascii="inter" w:eastAsia="inter" w:hAnsi="inter" w:cs="inter"/>
          <w:b/>
          <w:color w:val="000000"/>
        </w:rPr>
        <w:t>, Business Writing,</w:t>
      </w:r>
      <w:r>
        <w:rPr>
          <w:rFonts w:ascii="inter" w:eastAsia="inter" w:hAnsi="inter" w:cs="inter"/>
          <w:b/>
          <w:color w:val="000000"/>
        </w:rPr>
        <w:t xml:space="preserve"> &amp; Grant Consulting</w:t>
      </w:r>
      <w:r>
        <w:rPr>
          <w:rFonts w:ascii="inter" w:eastAsia="inter" w:hAnsi="inter" w:cs="inter"/>
          <w:color w:val="000000"/>
        </w:rPr>
        <w:br/>
        <w:t>Expert guidance on securing funding, developing research proposals, managing grants, and leveraging analytics to advance impactful EdTech projects and initiatives.</w:t>
      </w:r>
    </w:p>
    <w:p w14:paraId="40AB7F1E" w14:textId="77777777" w:rsidR="00D801E0" w:rsidRDefault="00000000">
      <w:pPr>
        <w:numPr>
          <w:ilvl w:val="0"/>
          <w:numId w:val="4"/>
        </w:numPr>
        <w:spacing w:after="210" w:line="360" w:lineRule="auto"/>
      </w:pPr>
      <w:r>
        <w:rPr>
          <w:rFonts w:ascii="inter" w:eastAsia="inter" w:hAnsi="inter" w:cs="inter"/>
          <w:b/>
          <w:color w:val="000000"/>
        </w:rPr>
        <w:t>EdTech Integration &amp; Training</w:t>
      </w:r>
      <w:r>
        <w:rPr>
          <w:rFonts w:ascii="inter" w:eastAsia="inter" w:hAnsi="inter" w:cs="inter"/>
          <w:color w:val="000000"/>
        </w:rPr>
        <w:br/>
        <w:t>Customized training and implementation support to help educators and organizations effectively adopt, adapt, and sustain educational technology solutions.</w:t>
      </w:r>
    </w:p>
    <w:p w14:paraId="0E388076" w14:textId="77777777" w:rsidR="00D801E0" w:rsidRDefault="00000000">
      <w:pPr>
        <w:numPr>
          <w:ilvl w:val="0"/>
          <w:numId w:val="4"/>
        </w:numPr>
        <w:spacing w:after="210" w:line="360" w:lineRule="auto"/>
      </w:pPr>
      <w:r>
        <w:rPr>
          <w:rFonts w:ascii="inter" w:eastAsia="inter" w:hAnsi="inter" w:cs="inter"/>
          <w:b/>
          <w:color w:val="000000"/>
        </w:rPr>
        <w:t>Thought Leadership Webinars</w:t>
      </w:r>
      <w:r>
        <w:rPr>
          <w:rFonts w:ascii="inter" w:eastAsia="inter" w:hAnsi="inter" w:cs="inter"/>
          <w:color w:val="000000"/>
        </w:rPr>
        <w:br/>
        <w:t>Monthly webinars featuring renowned experts, thought leaders, and pioneering educators addressing cutting-edge topics in EdTech, innovation, equity, and global best practices.</w:t>
      </w:r>
    </w:p>
    <w:p w14:paraId="28A4EB30" w14:textId="77777777" w:rsidR="00D801E0" w:rsidRDefault="00000000">
      <w:pPr>
        <w:numPr>
          <w:ilvl w:val="0"/>
          <w:numId w:val="4"/>
        </w:numPr>
        <w:spacing w:after="210" w:line="360" w:lineRule="auto"/>
      </w:pPr>
      <w:r>
        <w:rPr>
          <w:rFonts w:ascii="inter" w:eastAsia="inter" w:hAnsi="inter" w:cs="inter"/>
          <w:b/>
          <w:color w:val="000000"/>
        </w:rPr>
        <w:t>Multilingual Publishing Hub</w:t>
      </w:r>
      <w:r>
        <w:rPr>
          <w:rFonts w:ascii="inter" w:eastAsia="inter" w:hAnsi="inter" w:cs="inter"/>
          <w:color w:val="000000"/>
        </w:rPr>
        <w:br/>
        <w:t>A centralized platform for publishing accessible, practical, and research-informed educational materials in English, French, and Haitian Creole—to break language barriers and advance digital inclusion.</w:t>
      </w:r>
    </w:p>
    <w:p w14:paraId="59DF4C61" w14:textId="77777777" w:rsidR="00D801E0" w:rsidRDefault="00000000">
      <w:pPr>
        <w:spacing w:before="315" w:after="105" w:line="360" w:lineRule="auto"/>
        <w:ind w:left="-30"/>
      </w:pPr>
      <w:r>
        <w:rPr>
          <w:rFonts w:ascii="inter" w:eastAsia="inter" w:hAnsi="inter" w:cs="inter"/>
          <w:b/>
          <w:color w:val="000000"/>
          <w:sz w:val="24"/>
        </w:rPr>
        <w:t>Inspiration from Our Work</w:t>
      </w:r>
    </w:p>
    <w:p w14:paraId="66820B10" w14:textId="77777777" w:rsidR="00D801E0" w:rsidRDefault="00000000">
      <w:pPr>
        <w:spacing w:after="210" w:line="360" w:lineRule="auto"/>
        <w:ind w:left="630"/>
      </w:pPr>
      <w:r>
        <w:rPr>
          <w:rFonts w:ascii="inter" w:eastAsia="inter" w:hAnsi="inter" w:cs="inter"/>
          <w:color w:val="000000"/>
        </w:rPr>
        <w:t>“By fostering collaboration across sectors, the book envisions a future where all learners, regardless of their circumstances, can thrive in a technology-driven world. This work serves as a roadmap for transforming K-12 education through inclusive, innovative, learner-centered practices aligned with 21st-century demands.”</w:t>
      </w:r>
      <w:r>
        <w:rPr>
          <w:rFonts w:ascii="inter" w:eastAsia="inter" w:hAnsi="inter" w:cs="inter"/>
          <w:color w:val="000000"/>
        </w:rPr>
        <w:br/>
      </w:r>
      <w:r>
        <w:rPr>
          <w:rFonts w:ascii="inter" w:eastAsia="inter" w:hAnsi="inter" w:cs="inter"/>
          <w:i/>
          <w:color w:val="000000"/>
        </w:rPr>
        <w:t>(Vermeille, 2025a, Abstract/Conclusion)</w:t>
      </w:r>
    </w:p>
    <w:p w14:paraId="25EF5F3F" w14:textId="77777777" w:rsidR="00D801E0" w:rsidRDefault="00000000">
      <w:pPr>
        <w:spacing w:before="315" w:after="105" w:line="360" w:lineRule="auto"/>
        <w:ind w:left="-30"/>
      </w:pPr>
      <w:r>
        <w:rPr>
          <w:rFonts w:ascii="inter" w:eastAsia="inter" w:hAnsi="inter" w:cs="inter"/>
          <w:b/>
          <w:color w:val="000000"/>
          <w:sz w:val="24"/>
        </w:rPr>
        <w:t>Join the Movement</w:t>
      </w:r>
    </w:p>
    <w:p w14:paraId="6B25C615" w14:textId="77777777" w:rsidR="00D801E0" w:rsidRDefault="00000000">
      <w:pPr>
        <w:spacing w:after="210" w:line="360" w:lineRule="auto"/>
      </w:pPr>
      <w:r>
        <w:rPr>
          <w:rFonts w:ascii="inter" w:eastAsia="inter" w:hAnsi="inter" w:cs="inter"/>
          <w:color w:val="000000"/>
        </w:rPr>
        <w:t>This launch is more than a business debut—it’s the start of a movement!</w:t>
      </w:r>
    </w:p>
    <w:p w14:paraId="232CF76F" w14:textId="77777777" w:rsidR="00D801E0" w:rsidRDefault="00000000">
      <w:pPr>
        <w:numPr>
          <w:ilvl w:val="0"/>
          <w:numId w:val="5"/>
        </w:numPr>
        <w:spacing w:before="105" w:after="105" w:line="360" w:lineRule="auto"/>
      </w:pPr>
      <w:r>
        <w:rPr>
          <w:rFonts w:ascii="inter" w:eastAsia="inter" w:hAnsi="inter" w:cs="inter"/>
          <w:b/>
          <w:color w:val="000000"/>
        </w:rPr>
        <w:t>Subscribe</w:t>
      </w:r>
      <w:r>
        <w:rPr>
          <w:rFonts w:ascii="inter" w:eastAsia="inter" w:hAnsi="inter" w:cs="inter"/>
          <w:color w:val="000000"/>
        </w:rPr>
        <w:t xml:space="preserve"> to our newsletter for exclusive insights and actionable resources.</w:t>
      </w:r>
    </w:p>
    <w:p w14:paraId="0F1D3512" w14:textId="77777777" w:rsidR="00D801E0" w:rsidRDefault="00000000">
      <w:pPr>
        <w:numPr>
          <w:ilvl w:val="0"/>
          <w:numId w:val="5"/>
        </w:numPr>
        <w:spacing w:before="105" w:after="105" w:line="360" w:lineRule="auto"/>
      </w:pPr>
      <w:r>
        <w:rPr>
          <w:rFonts w:ascii="inter" w:eastAsia="inter" w:hAnsi="inter" w:cs="inter"/>
          <w:b/>
          <w:color w:val="000000"/>
        </w:rPr>
        <w:lastRenderedPageBreak/>
        <w:t>Collaborate</w:t>
      </w:r>
      <w:r>
        <w:rPr>
          <w:rFonts w:ascii="inter" w:eastAsia="inter" w:hAnsi="inter" w:cs="inter"/>
          <w:color w:val="000000"/>
        </w:rPr>
        <w:t xml:space="preserve"> through our website or professional network.</w:t>
      </w:r>
    </w:p>
    <w:p w14:paraId="6E899B8C" w14:textId="77777777" w:rsidR="00D801E0" w:rsidRDefault="00000000">
      <w:pPr>
        <w:numPr>
          <w:ilvl w:val="0"/>
          <w:numId w:val="5"/>
        </w:numPr>
        <w:spacing w:before="105" w:after="105" w:line="360" w:lineRule="auto"/>
      </w:pPr>
      <w:r>
        <w:rPr>
          <w:rFonts w:ascii="inter" w:eastAsia="inter" w:hAnsi="inter" w:cs="inter"/>
          <w:b/>
          <w:color w:val="000000"/>
        </w:rPr>
        <w:t>Explore</w:t>
      </w:r>
      <w:r>
        <w:rPr>
          <w:rFonts w:ascii="inter" w:eastAsia="inter" w:hAnsi="inter" w:cs="inter"/>
          <w:color w:val="000000"/>
        </w:rPr>
        <w:t xml:space="preserve"> research and opportunities at </w:t>
      </w:r>
      <w:hyperlink r:id="rId5">
        <w:r w:rsidR="00D801E0">
          <w:rPr>
            <w:rFonts w:ascii="inter" w:eastAsia="inter" w:hAnsi="inter" w:cs="inter"/>
            <w:u w:val="single"/>
          </w:rPr>
          <w:t>doctorvermeille.com</w:t>
        </w:r>
      </w:hyperlink>
      <w:r>
        <w:rPr>
          <w:rFonts w:ascii="inter" w:eastAsia="inter" w:hAnsi="inter" w:cs="inter"/>
          <w:color w:val="000000"/>
        </w:rPr>
        <w:t>.</w:t>
      </w:r>
    </w:p>
    <w:p w14:paraId="302149EA" w14:textId="77777777" w:rsidR="00D801E0" w:rsidRDefault="00000000">
      <w:pPr>
        <w:spacing w:before="315" w:after="105" w:line="360" w:lineRule="auto"/>
        <w:ind w:left="-30"/>
      </w:pPr>
      <w:r>
        <w:rPr>
          <w:rFonts w:ascii="inter" w:eastAsia="inter" w:hAnsi="inter" w:cs="inter"/>
          <w:b/>
          <w:color w:val="000000"/>
          <w:sz w:val="24"/>
        </w:rPr>
        <w:t>The Journey Ahead</w:t>
      </w:r>
    </w:p>
    <w:p w14:paraId="081D59D2" w14:textId="358F7A0F" w:rsidR="00D801E0" w:rsidRDefault="00000000">
      <w:pPr>
        <w:spacing w:after="210" w:line="360" w:lineRule="auto"/>
      </w:pPr>
      <w:r>
        <w:rPr>
          <w:rFonts w:ascii="inter" w:eastAsia="inter" w:hAnsi="inter" w:cs="inter"/>
          <w:color w:val="000000"/>
        </w:rPr>
        <w:t xml:space="preserve">Change happens when ideas, resources, and humanity converge. We envision a future where children in rural classrooms and urban centers </w:t>
      </w:r>
      <w:r w:rsidR="00423C20">
        <w:rPr>
          <w:rFonts w:ascii="inter" w:eastAsia="inter" w:hAnsi="inter" w:cs="inter"/>
          <w:color w:val="000000"/>
        </w:rPr>
        <w:t>like</w:t>
      </w:r>
      <w:r>
        <w:rPr>
          <w:rFonts w:ascii="inter" w:eastAsia="inter" w:hAnsi="inter" w:cs="inter"/>
          <w:color w:val="000000"/>
        </w:rPr>
        <w:t xml:space="preserve"> unlock their full potential through access and support. That journey begins with us—all of us—today.</w:t>
      </w:r>
    </w:p>
    <w:p w14:paraId="690B8F86" w14:textId="77777777" w:rsidR="00D801E0" w:rsidRDefault="00000000">
      <w:pPr>
        <w:spacing w:before="315" w:after="105" w:line="360" w:lineRule="auto"/>
        <w:ind w:left="-30"/>
      </w:pPr>
      <w:r>
        <w:rPr>
          <w:rFonts w:ascii="inter" w:eastAsia="inter" w:hAnsi="inter" w:cs="inter"/>
          <w:b/>
          <w:color w:val="000000"/>
          <w:sz w:val="24"/>
        </w:rPr>
        <w:t>Conclusion: Advancing Equity Through Technology Literacy</w:t>
      </w:r>
    </w:p>
    <w:p w14:paraId="7B8DF765" w14:textId="77777777" w:rsidR="00D801E0" w:rsidRDefault="00000000">
      <w:pPr>
        <w:spacing w:after="210" w:line="360" w:lineRule="auto"/>
      </w:pPr>
      <w:r>
        <w:rPr>
          <w:rFonts w:ascii="inter" w:eastAsia="inter" w:hAnsi="inter" w:cs="inter"/>
          <w:color w:val="000000"/>
        </w:rPr>
        <w:t xml:space="preserve">We invite you to explore and order our cornerstone books at </w:t>
      </w:r>
      <w:hyperlink r:id="rId6">
        <w:r w:rsidR="00D801E0">
          <w:rPr>
            <w:rFonts w:ascii="inter" w:eastAsia="inter" w:hAnsi="inter" w:cs="inter"/>
            <w:u w:val="single"/>
          </w:rPr>
          <w:t>www.doctorvermeillebooks.com</w:t>
        </w:r>
      </w:hyperlink>
      <w:r>
        <w:rPr>
          <w:rFonts w:ascii="inter" w:eastAsia="inter" w:hAnsi="inter" w:cs="inter"/>
          <w:color w:val="000000"/>
        </w:rPr>
        <w:t>—essential reading for all committed to real EdTech transformation.</w:t>
      </w:r>
    </w:p>
    <w:p w14:paraId="1058D73A" w14:textId="77777777" w:rsidR="00D801E0" w:rsidRDefault="00000000">
      <w:pPr>
        <w:spacing w:after="210" w:line="360" w:lineRule="auto"/>
      </w:pPr>
      <w:r>
        <w:rPr>
          <w:rFonts w:ascii="inter" w:eastAsia="inter" w:hAnsi="inter" w:cs="inter"/>
          <w:color w:val="000000"/>
        </w:rPr>
        <w:t>Our vision, mission, and vocation are grounded in the belief that educational opportunity must transcend borders and language. We are proud to serve communities in English, French, and Haitian Creole. Your feedback—and your ideas for EdTech, AI, teacher technology training, and digital literacy—help us ensure technology literacy is the sine qua non of real education in the 21st century.</w:t>
      </w:r>
    </w:p>
    <w:p w14:paraId="3B459786" w14:textId="77777777" w:rsidR="00D801E0" w:rsidRDefault="00000000">
      <w:pPr>
        <w:spacing w:after="210" w:line="360" w:lineRule="auto"/>
        <w:ind w:left="630"/>
      </w:pPr>
      <w:r>
        <w:rPr>
          <w:rFonts w:ascii="inter" w:eastAsia="inter" w:hAnsi="inter" w:cs="inter"/>
          <w:color w:val="000000"/>
        </w:rPr>
        <w:t>“The illiterate of the 21st century will not be those who cannot read and write, but those who cannot learn, unlearn, and relearn.”</w:t>
      </w:r>
      <w:r>
        <w:rPr>
          <w:rFonts w:ascii="inter" w:eastAsia="inter" w:hAnsi="inter" w:cs="inter"/>
          <w:color w:val="000000"/>
        </w:rPr>
        <w:br/>
        <w:t>— Toffler (1970, p. 414)</w:t>
      </w:r>
    </w:p>
    <w:p w14:paraId="77D2C625" w14:textId="77777777" w:rsidR="00D801E0" w:rsidRDefault="00000000">
      <w:pPr>
        <w:spacing w:after="210" w:line="360" w:lineRule="auto"/>
      </w:pPr>
      <w:r>
        <w:rPr>
          <w:rFonts w:ascii="inter" w:eastAsia="inter" w:hAnsi="inter" w:cs="inter"/>
          <w:color w:val="000000"/>
        </w:rPr>
        <w:t>Together, let’s redefine education for a better, more inclusive world. Indeed, with educational technology, tomorrow can be brighter than yesterday.</w:t>
      </w:r>
    </w:p>
    <w:p w14:paraId="6C086ACE" w14:textId="064C82F9" w:rsidR="00D801E0" w:rsidRDefault="00000000">
      <w:pPr>
        <w:spacing w:after="210" w:line="360" w:lineRule="auto"/>
      </w:pPr>
      <w:r>
        <w:rPr>
          <w:rFonts w:ascii="inter" w:eastAsia="inter" w:hAnsi="inter" w:cs="inter"/>
          <w:b/>
          <w:color w:val="000000"/>
        </w:rPr>
        <w:t xml:space="preserve">Doctor Vermeille Global EdTech &amp; Research LLC—Advancing Educational Equity, </w:t>
      </w:r>
      <w:r w:rsidR="00DF55E1">
        <w:rPr>
          <w:rFonts w:ascii="inter" w:eastAsia="inter" w:hAnsi="inter" w:cs="inter"/>
          <w:b/>
          <w:color w:val="000000"/>
        </w:rPr>
        <w:t>everywhere</w:t>
      </w:r>
      <w:r>
        <w:rPr>
          <w:rFonts w:ascii="inter" w:eastAsia="inter" w:hAnsi="inter" w:cs="inter"/>
          <w:b/>
          <w:color w:val="000000"/>
        </w:rPr>
        <w:t>.</w:t>
      </w:r>
    </w:p>
    <w:p w14:paraId="19F65A4C" w14:textId="77777777" w:rsidR="00D801E0" w:rsidRDefault="00000000">
      <w:pPr>
        <w:spacing w:before="315" w:after="105" w:line="360" w:lineRule="auto"/>
        <w:ind w:left="-30"/>
      </w:pPr>
      <w:r>
        <w:rPr>
          <w:rFonts w:ascii="inter" w:eastAsia="inter" w:hAnsi="inter" w:cs="inter"/>
          <w:b/>
          <w:color w:val="000000"/>
          <w:sz w:val="24"/>
        </w:rPr>
        <w:t>References</w:t>
      </w:r>
    </w:p>
    <w:p w14:paraId="55F240A8" w14:textId="77777777" w:rsidR="00423C20" w:rsidRDefault="00000000" w:rsidP="00423C20">
      <w:pPr>
        <w:spacing w:after="210" w:line="360" w:lineRule="auto"/>
        <w:rPr>
          <w:rFonts w:ascii="inter" w:eastAsia="inter" w:hAnsi="inter" w:cs="inter"/>
          <w:color w:val="000000"/>
          <w:lang w:val="fr-HT"/>
        </w:rPr>
      </w:pPr>
      <w:r>
        <w:rPr>
          <w:rFonts w:ascii="inter" w:eastAsia="inter" w:hAnsi="inter" w:cs="inter"/>
          <w:color w:val="000000"/>
        </w:rPr>
        <w:t xml:space="preserve">Toffler, A. (1970). </w:t>
      </w:r>
      <w:r>
        <w:rPr>
          <w:rFonts w:ascii="inter" w:eastAsia="inter" w:hAnsi="inter" w:cs="inter"/>
          <w:i/>
          <w:color w:val="000000"/>
        </w:rPr>
        <w:t>Future Shock</w:t>
      </w:r>
      <w:r>
        <w:rPr>
          <w:rFonts w:ascii="inter" w:eastAsia="inter" w:hAnsi="inter" w:cs="inter"/>
          <w:color w:val="000000"/>
        </w:rPr>
        <w:t xml:space="preserve">. </w:t>
      </w:r>
      <w:r w:rsidRPr="00423C20">
        <w:rPr>
          <w:rFonts w:ascii="inter" w:eastAsia="inter" w:hAnsi="inter" w:cs="inter"/>
          <w:color w:val="000000"/>
        </w:rPr>
        <w:t>Random House.</w:t>
      </w:r>
      <w:r w:rsidRPr="00423C20">
        <w:rPr>
          <w:rFonts w:ascii="inter" w:eastAsia="inter" w:hAnsi="inter" w:cs="inter"/>
          <w:color w:val="000000"/>
        </w:rPr>
        <w:br/>
      </w:r>
      <w:r w:rsidRPr="00DF55E1">
        <w:rPr>
          <w:rFonts w:ascii="inter" w:eastAsia="inter" w:hAnsi="inter" w:cs="inter"/>
          <w:color w:val="000000"/>
          <w:lang w:val="fr-HT"/>
        </w:rPr>
        <w:t xml:space="preserve">Vermeille, J. K. (2024). </w:t>
      </w:r>
      <w:r w:rsidRPr="00DF55E1">
        <w:rPr>
          <w:rFonts w:ascii="inter" w:eastAsia="inter" w:hAnsi="inter" w:cs="inter"/>
          <w:i/>
          <w:color w:val="000000"/>
          <w:lang w:val="fr-HT"/>
        </w:rPr>
        <w:t>Doctoral Dissertation</w:t>
      </w:r>
      <w:r w:rsidRPr="00DF55E1">
        <w:rPr>
          <w:rFonts w:ascii="inter" w:eastAsia="inter" w:hAnsi="inter" w:cs="inter"/>
          <w:color w:val="000000"/>
          <w:lang w:val="fr-HT"/>
        </w:rPr>
        <w:t>.</w:t>
      </w:r>
    </w:p>
    <w:p w14:paraId="74146936" w14:textId="267447C6" w:rsidR="00423C20" w:rsidRPr="00423C20" w:rsidRDefault="00423C20" w:rsidP="00423C20">
      <w:pPr>
        <w:spacing w:after="210" w:line="360" w:lineRule="auto"/>
        <w:rPr>
          <w:rFonts w:ascii="inter" w:eastAsia="inter" w:hAnsi="inter" w:cs="inter"/>
          <w:color w:val="000000"/>
          <w:lang w:val="fr-HT"/>
        </w:rPr>
      </w:pPr>
      <w:r w:rsidRPr="006138F7">
        <w:rPr>
          <w:color w:val="555555"/>
          <w:shd w:val="clear" w:color="auto" w:fill="FFFFFF"/>
        </w:rPr>
        <w:t>Vermeille, J. K. (2024).</w:t>
      </w:r>
      <w:r w:rsidRPr="006138F7">
        <w:rPr>
          <w:color w:val="555555"/>
          <w:shd w:val="clear" w:color="auto" w:fill="FFFFFF"/>
        </w:rPr>
        <w:t> </w:t>
      </w:r>
      <w:r w:rsidRPr="009F71CC">
        <w:rPr>
          <w:i/>
          <w:iCs/>
          <w:color w:val="555555"/>
          <w:shd w:val="clear" w:color="auto" w:fill="FFFFFF"/>
        </w:rPr>
        <w:t>Exploring Teachers</w:t>
      </w:r>
      <w:r w:rsidRPr="009F71CC">
        <w:rPr>
          <w:i/>
          <w:iCs/>
          <w:color w:val="555555"/>
          <w:shd w:val="clear" w:color="auto" w:fill="FFFFFF"/>
        </w:rPr>
        <w:t>’</w:t>
      </w:r>
      <w:r w:rsidRPr="009F71CC">
        <w:rPr>
          <w:i/>
          <w:iCs/>
          <w:color w:val="555555"/>
          <w:shd w:val="clear" w:color="auto" w:fill="FFFFFF"/>
        </w:rPr>
        <w:t xml:space="preserve"> Lived Experiences Teaching Online in the Wake of COVID-19: A Phenomenological Study</w:t>
      </w:r>
      <w:r w:rsidRPr="009F71CC">
        <w:rPr>
          <w:i/>
          <w:iCs/>
          <w:color w:val="555555"/>
          <w:shd w:val="clear" w:color="auto" w:fill="FFFFFF"/>
        </w:rPr>
        <w:t> </w:t>
      </w:r>
      <w:r w:rsidRPr="009F71CC">
        <w:rPr>
          <w:color w:val="555555"/>
          <w:shd w:val="clear" w:color="auto" w:fill="FFFFFF"/>
        </w:rPr>
        <w:t xml:space="preserve">(Order No. 31483656). Available from ProQuest Dissertations &amp; Theses Global. (3095848283). </w:t>
      </w:r>
      <w:hyperlink r:id="rId7" w:history="1">
        <w:r w:rsidRPr="009F71CC">
          <w:rPr>
            <w:rStyle w:val="Hyperlink"/>
            <w:shd w:val="clear" w:color="auto" w:fill="FFFFFF"/>
          </w:rPr>
          <w:t>https://go.openathens.net/redirector/nu.edu?url=</w:t>
        </w:r>
      </w:hyperlink>
      <w:r w:rsidRPr="009F71CC">
        <w:rPr>
          <w:color w:val="555555"/>
          <w:shd w:val="clear" w:color="auto" w:fill="FFFFFF"/>
        </w:rPr>
        <w:t xml:space="preserve"> https://www.proquest.com/dissertations-theses/exploring-teachers-lived-experiences-teaching/docview/3095848283/se-2</w:t>
      </w:r>
    </w:p>
    <w:p w14:paraId="1AF2DA06" w14:textId="141760DD" w:rsidR="00D801E0" w:rsidRDefault="00000000">
      <w:pPr>
        <w:spacing w:after="210" w:line="360" w:lineRule="auto"/>
      </w:pPr>
      <w:r w:rsidRPr="00423C20">
        <w:rPr>
          <w:rFonts w:ascii="inter" w:eastAsia="inter" w:hAnsi="inter" w:cs="inter"/>
          <w:color w:val="000000"/>
        </w:rPr>
        <w:lastRenderedPageBreak/>
        <w:br/>
      </w:r>
      <w:r w:rsidRPr="00DF55E1">
        <w:rPr>
          <w:rFonts w:ascii="inter" w:eastAsia="inter" w:hAnsi="inter" w:cs="inter"/>
          <w:color w:val="000000"/>
          <w:lang w:val="fr-HT"/>
        </w:rPr>
        <w:t xml:space="preserve">Vermeille, J. K. (2025a). </w:t>
      </w:r>
      <w:r>
        <w:rPr>
          <w:rFonts w:ascii="inter" w:eastAsia="inter" w:hAnsi="inter" w:cs="inter"/>
          <w:i/>
          <w:color w:val="000000"/>
        </w:rPr>
        <w:t>A Comprehensive K-12 Educational Technology Framework for the 21st Century</w:t>
      </w:r>
      <w:r>
        <w:rPr>
          <w:rFonts w:ascii="inter" w:eastAsia="inter" w:hAnsi="inter" w:cs="inter"/>
          <w:color w:val="000000"/>
        </w:rPr>
        <w:t>.</w:t>
      </w:r>
      <w:r>
        <w:rPr>
          <w:rFonts w:ascii="inter" w:eastAsia="inter" w:hAnsi="inter" w:cs="inter"/>
          <w:color w:val="000000"/>
        </w:rPr>
        <w:br/>
        <w:t xml:space="preserve">Vermeille, J. K. (2025b). </w:t>
      </w:r>
      <w:r>
        <w:rPr>
          <w:rFonts w:ascii="inter" w:eastAsia="inter" w:hAnsi="inter" w:cs="inter"/>
          <w:i/>
          <w:color w:val="000000"/>
        </w:rPr>
        <w:t>Emergency Preparedness for K-12 Online Teaching</w:t>
      </w:r>
      <w:r>
        <w:rPr>
          <w:rFonts w:ascii="inter" w:eastAsia="inter" w:hAnsi="inter" w:cs="inter"/>
          <w:color w:val="000000"/>
        </w:rPr>
        <w:t>.</w:t>
      </w:r>
      <w:r>
        <w:rPr>
          <w:rFonts w:ascii="inter" w:eastAsia="inter" w:hAnsi="inter" w:cs="inter"/>
          <w:color w:val="000000"/>
        </w:rPr>
        <w:br/>
        <w:t xml:space="preserve">Vermeille, J. K. (2025c). </w:t>
      </w:r>
      <w:r>
        <w:rPr>
          <w:rFonts w:ascii="inter" w:eastAsia="inter" w:hAnsi="inter" w:cs="inter"/>
          <w:i/>
          <w:color w:val="000000"/>
        </w:rPr>
        <w:t>AI, A Blessing or a Curse for Humanity</w:t>
      </w:r>
      <w:r>
        <w:rPr>
          <w:rFonts w:ascii="inter" w:eastAsia="inter" w:hAnsi="inter" w:cs="inter"/>
          <w:color w:val="000000"/>
        </w:rPr>
        <w:t>.</w:t>
      </w:r>
      <w:r>
        <w:rPr>
          <w:rFonts w:ascii="inter" w:eastAsia="inter" w:hAnsi="inter" w:cs="inter"/>
          <w:color w:val="000000"/>
        </w:rPr>
        <w:br/>
        <w:t xml:space="preserve">Doctor Vermeille Global EdTech &amp; Research LLC. (2025). </w:t>
      </w:r>
      <w:hyperlink r:id="rId8">
        <w:r w:rsidR="00D801E0">
          <w:rPr>
            <w:rFonts w:ascii="inter" w:eastAsia="inter" w:hAnsi="inter" w:cs="inter"/>
            <w:u w:val="single"/>
          </w:rPr>
          <w:t>www.doctorvermeille.com</w:t>
        </w:r>
      </w:hyperlink>
    </w:p>
    <w:p w14:paraId="71A2C56F" w14:textId="77777777" w:rsidR="00D801E0" w:rsidRDefault="00000000">
      <w:pPr>
        <w:spacing w:before="315" w:after="105" w:line="360" w:lineRule="auto"/>
        <w:ind w:left="-30"/>
      </w:pPr>
      <w:r>
        <w:rPr>
          <w:rFonts w:ascii="inter" w:eastAsia="inter" w:hAnsi="inter" w:cs="inter"/>
          <w:b/>
          <w:color w:val="000000"/>
          <w:sz w:val="24"/>
        </w:rPr>
        <w:t>Hashtags</w:t>
      </w:r>
    </w:p>
    <w:p w14:paraId="0C7D2871" w14:textId="77777777" w:rsidR="00D801E0" w:rsidRDefault="00000000">
      <w:pPr>
        <w:spacing w:after="210" w:line="360" w:lineRule="auto"/>
      </w:pPr>
      <w:r>
        <w:rPr>
          <w:rFonts w:ascii="inter" w:eastAsia="inter" w:hAnsi="inter" w:cs="inter"/>
          <w:color w:val="000000"/>
        </w:rPr>
        <w:t>#EdTechEquity #DigitalDivide #EducationalTechnology #TechnologyLiteracy #AIinEducation #MultilingualEdTech #K12 #GlobalEducation #InclusiveEdTech #DoctorVermeille</w:t>
      </w:r>
    </w:p>
    <w:p w14:paraId="388526EE" w14:textId="77777777" w:rsidR="00D801E0" w:rsidRDefault="00000000">
      <w:pPr>
        <w:spacing w:line="360" w:lineRule="auto"/>
        <w:jc w:val="center"/>
      </w:pPr>
      <w:r>
        <w:rPr>
          <w:rFonts w:ascii="inter" w:eastAsia="inter" w:hAnsi="inter" w:cs="inter"/>
          <w:color w:val="000000"/>
        </w:rPr>
        <w:t>⁂</w:t>
      </w:r>
    </w:p>
    <w:sectPr w:rsidR="00D801E0">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inter">
    <w:altName w:val="Cambria"/>
    <w:charset w:val="00"/>
    <w:family w:val="swiss"/>
    <w:pitch w:val="variable"/>
    <w:sig w:usb0="E00002FF" w:usb1="1200A1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DB7A7E"/>
    <w:multiLevelType w:val="hybridMultilevel"/>
    <w:tmpl w:val="12DCC416"/>
    <w:lvl w:ilvl="0" w:tplc="27F09AA6">
      <w:start w:val="1"/>
      <w:numFmt w:val="bullet"/>
      <w:lvlText w:val=""/>
      <w:lvlJc w:val="left"/>
      <w:pPr>
        <w:tabs>
          <w:tab w:val="num" w:pos="900"/>
        </w:tabs>
        <w:ind w:left="540" w:hanging="360"/>
      </w:pPr>
      <w:rPr>
        <w:rFonts w:ascii="Symbol" w:hAnsi="Symbol" w:hint="default"/>
      </w:rPr>
    </w:lvl>
    <w:lvl w:ilvl="1" w:tplc="6B762630">
      <w:numFmt w:val="decimal"/>
      <w:lvlText w:val=""/>
      <w:lvlJc w:val="left"/>
    </w:lvl>
    <w:lvl w:ilvl="2" w:tplc="66286D4A">
      <w:numFmt w:val="decimal"/>
      <w:lvlText w:val=""/>
      <w:lvlJc w:val="left"/>
    </w:lvl>
    <w:lvl w:ilvl="3" w:tplc="1892F898">
      <w:numFmt w:val="decimal"/>
      <w:lvlText w:val=""/>
      <w:lvlJc w:val="left"/>
    </w:lvl>
    <w:lvl w:ilvl="4" w:tplc="874A8B38">
      <w:numFmt w:val="decimal"/>
      <w:lvlText w:val=""/>
      <w:lvlJc w:val="left"/>
    </w:lvl>
    <w:lvl w:ilvl="5" w:tplc="675A8038">
      <w:numFmt w:val="decimal"/>
      <w:lvlText w:val=""/>
      <w:lvlJc w:val="left"/>
    </w:lvl>
    <w:lvl w:ilvl="6" w:tplc="5F5E2D1A">
      <w:numFmt w:val="decimal"/>
      <w:lvlText w:val=""/>
      <w:lvlJc w:val="left"/>
    </w:lvl>
    <w:lvl w:ilvl="7" w:tplc="A6187278">
      <w:numFmt w:val="decimal"/>
      <w:lvlText w:val=""/>
      <w:lvlJc w:val="left"/>
    </w:lvl>
    <w:lvl w:ilvl="8" w:tplc="EC261466">
      <w:numFmt w:val="decimal"/>
      <w:lvlText w:val=""/>
      <w:lvlJc w:val="left"/>
    </w:lvl>
  </w:abstractNum>
  <w:abstractNum w:abstractNumId="1" w15:restartNumberingAfterBreak="0">
    <w:nsid w:val="641E23CA"/>
    <w:multiLevelType w:val="hybridMultilevel"/>
    <w:tmpl w:val="5F48B39A"/>
    <w:lvl w:ilvl="0" w:tplc="D02E2140">
      <w:start w:val="1"/>
      <w:numFmt w:val="bullet"/>
      <w:lvlText w:val=""/>
      <w:lvlJc w:val="left"/>
      <w:pPr>
        <w:tabs>
          <w:tab w:val="num" w:pos="900"/>
        </w:tabs>
        <w:ind w:left="540" w:hanging="360"/>
      </w:pPr>
      <w:rPr>
        <w:rFonts w:ascii="Symbol" w:hAnsi="Symbol" w:hint="default"/>
      </w:rPr>
    </w:lvl>
    <w:lvl w:ilvl="1" w:tplc="00307F88">
      <w:numFmt w:val="decimal"/>
      <w:lvlText w:val=""/>
      <w:lvlJc w:val="left"/>
    </w:lvl>
    <w:lvl w:ilvl="2" w:tplc="FCD0546E">
      <w:numFmt w:val="decimal"/>
      <w:lvlText w:val=""/>
      <w:lvlJc w:val="left"/>
    </w:lvl>
    <w:lvl w:ilvl="3" w:tplc="92A8E318">
      <w:numFmt w:val="decimal"/>
      <w:lvlText w:val=""/>
      <w:lvlJc w:val="left"/>
    </w:lvl>
    <w:lvl w:ilvl="4" w:tplc="C9348AA2">
      <w:numFmt w:val="decimal"/>
      <w:lvlText w:val=""/>
      <w:lvlJc w:val="left"/>
    </w:lvl>
    <w:lvl w:ilvl="5" w:tplc="CA605614">
      <w:numFmt w:val="decimal"/>
      <w:lvlText w:val=""/>
      <w:lvlJc w:val="left"/>
    </w:lvl>
    <w:lvl w:ilvl="6" w:tplc="A1E4297C">
      <w:numFmt w:val="decimal"/>
      <w:lvlText w:val=""/>
      <w:lvlJc w:val="left"/>
    </w:lvl>
    <w:lvl w:ilvl="7" w:tplc="D56E9370">
      <w:numFmt w:val="decimal"/>
      <w:lvlText w:val=""/>
      <w:lvlJc w:val="left"/>
    </w:lvl>
    <w:lvl w:ilvl="8" w:tplc="AADA0384">
      <w:numFmt w:val="decimal"/>
      <w:lvlText w:val=""/>
      <w:lvlJc w:val="left"/>
    </w:lvl>
  </w:abstractNum>
  <w:abstractNum w:abstractNumId="2" w15:restartNumberingAfterBreak="0">
    <w:nsid w:val="71F35513"/>
    <w:multiLevelType w:val="hybridMultilevel"/>
    <w:tmpl w:val="E60CFE06"/>
    <w:lvl w:ilvl="0" w:tplc="BD46D5EE">
      <w:start w:val="1"/>
      <w:numFmt w:val="decimal"/>
      <w:lvlText w:val="%1."/>
      <w:lvlJc w:val="left"/>
      <w:pPr>
        <w:tabs>
          <w:tab w:val="num" w:pos="900"/>
        </w:tabs>
        <w:ind w:left="540" w:hanging="360"/>
      </w:pPr>
    </w:lvl>
    <w:lvl w:ilvl="1" w:tplc="C51A18EA">
      <w:numFmt w:val="decimal"/>
      <w:lvlText w:val=""/>
      <w:lvlJc w:val="left"/>
    </w:lvl>
    <w:lvl w:ilvl="2" w:tplc="0FCC5E38">
      <w:numFmt w:val="decimal"/>
      <w:lvlText w:val=""/>
      <w:lvlJc w:val="left"/>
    </w:lvl>
    <w:lvl w:ilvl="3" w:tplc="1E5E5D98">
      <w:numFmt w:val="decimal"/>
      <w:lvlText w:val=""/>
      <w:lvlJc w:val="left"/>
    </w:lvl>
    <w:lvl w:ilvl="4" w:tplc="F41EE00E">
      <w:numFmt w:val="decimal"/>
      <w:lvlText w:val=""/>
      <w:lvlJc w:val="left"/>
    </w:lvl>
    <w:lvl w:ilvl="5" w:tplc="1BC0FBF0">
      <w:numFmt w:val="decimal"/>
      <w:lvlText w:val=""/>
      <w:lvlJc w:val="left"/>
    </w:lvl>
    <w:lvl w:ilvl="6" w:tplc="C2282CA6">
      <w:numFmt w:val="decimal"/>
      <w:lvlText w:val=""/>
      <w:lvlJc w:val="left"/>
    </w:lvl>
    <w:lvl w:ilvl="7" w:tplc="57749386">
      <w:numFmt w:val="decimal"/>
      <w:lvlText w:val=""/>
      <w:lvlJc w:val="left"/>
    </w:lvl>
    <w:lvl w:ilvl="8" w:tplc="0FC8CE66">
      <w:numFmt w:val="decimal"/>
      <w:lvlText w:val=""/>
      <w:lvlJc w:val="left"/>
    </w:lvl>
  </w:abstractNum>
  <w:abstractNum w:abstractNumId="3" w15:restartNumberingAfterBreak="0">
    <w:nsid w:val="74727E1C"/>
    <w:multiLevelType w:val="hybridMultilevel"/>
    <w:tmpl w:val="A7087E36"/>
    <w:lvl w:ilvl="0" w:tplc="65946890">
      <w:start w:val="1"/>
      <w:numFmt w:val="bullet"/>
      <w:lvlText w:val=""/>
      <w:lvlJc w:val="left"/>
      <w:pPr>
        <w:tabs>
          <w:tab w:val="num" w:pos="900"/>
        </w:tabs>
        <w:ind w:left="540" w:hanging="360"/>
      </w:pPr>
      <w:rPr>
        <w:rFonts w:ascii="Symbol" w:hAnsi="Symbol" w:hint="default"/>
      </w:rPr>
    </w:lvl>
    <w:lvl w:ilvl="1" w:tplc="D59ECBC2">
      <w:numFmt w:val="decimal"/>
      <w:lvlText w:val=""/>
      <w:lvlJc w:val="left"/>
    </w:lvl>
    <w:lvl w:ilvl="2" w:tplc="758AB09C">
      <w:numFmt w:val="decimal"/>
      <w:lvlText w:val=""/>
      <w:lvlJc w:val="left"/>
    </w:lvl>
    <w:lvl w:ilvl="3" w:tplc="D606515C">
      <w:numFmt w:val="decimal"/>
      <w:lvlText w:val=""/>
      <w:lvlJc w:val="left"/>
    </w:lvl>
    <w:lvl w:ilvl="4" w:tplc="A14664BE">
      <w:numFmt w:val="decimal"/>
      <w:lvlText w:val=""/>
      <w:lvlJc w:val="left"/>
    </w:lvl>
    <w:lvl w:ilvl="5" w:tplc="2ADC97B4">
      <w:numFmt w:val="decimal"/>
      <w:lvlText w:val=""/>
      <w:lvlJc w:val="left"/>
    </w:lvl>
    <w:lvl w:ilvl="6" w:tplc="5BA8B1F0">
      <w:numFmt w:val="decimal"/>
      <w:lvlText w:val=""/>
      <w:lvlJc w:val="left"/>
    </w:lvl>
    <w:lvl w:ilvl="7" w:tplc="DEF2816C">
      <w:numFmt w:val="decimal"/>
      <w:lvlText w:val=""/>
      <w:lvlJc w:val="left"/>
    </w:lvl>
    <w:lvl w:ilvl="8" w:tplc="8B0E25D2">
      <w:numFmt w:val="decimal"/>
      <w:lvlText w:val=""/>
      <w:lvlJc w:val="left"/>
    </w:lvl>
  </w:abstractNum>
  <w:abstractNum w:abstractNumId="4" w15:restartNumberingAfterBreak="0">
    <w:nsid w:val="7CF22F55"/>
    <w:multiLevelType w:val="hybridMultilevel"/>
    <w:tmpl w:val="232E1ED0"/>
    <w:lvl w:ilvl="0" w:tplc="7DC093BE">
      <w:start w:val="1"/>
      <w:numFmt w:val="bullet"/>
      <w:lvlText w:val=""/>
      <w:lvlJc w:val="left"/>
      <w:pPr>
        <w:tabs>
          <w:tab w:val="num" w:pos="900"/>
        </w:tabs>
        <w:ind w:left="540" w:hanging="360"/>
      </w:pPr>
      <w:rPr>
        <w:rFonts w:ascii="Symbol" w:hAnsi="Symbol" w:hint="default"/>
      </w:rPr>
    </w:lvl>
    <w:lvl w:ilvl="1" w:tplc="756E9FFE">
      <w:numFmt w:val="decimal"/>
      <w:lvlText w:val=""/>
      <w:lvlJc w:val="left"/>
    </w:lvl>
    <w:lvl w:ilvl="2" w:tplc="68ECAB4A">
      <w:numFmt w:val="decimal"/>
      <w:lvlText w:val=""/>
      <w:lvlJc w:val="left"/>
    </w:lvl>
    <w:lvl w:ilvl="3" w:tplc="C46AA300">
      <w:numFmt w:val="decimal"/>
      <w:lvlText w:val=""/>
      <w:lvlJc w:val="left"/>
    </w:lvl>
    <w:lvl w:ilvl="4" w:tplc="C3AAE58C">
      <w:numFmt w:val="decimal"/>
      <w:lvlText w:val=""/>
      <w:lvlJc w:val="left"/>
    </w:lvl>
    <w:lvl w:ilvl="5" w:tplc="BE60DFD8">
      <w:numFmt w:val="decimal"/>
      <w:lvlText w:val=""/>
      <w:lvlJc w:val="left"/>
    </w:lvl>
    <w:lvl w:ilvl="6" w:tplc="25E642DC">
      <w:numFmt w:val="decimal"/>
      <w:lvlText w:val=""/>
      <w:lvlJc w:val="left"/>
    </w:lvl>
    <w:lvl w:ilvl="7" w:tplc="87400EB2">
      <w:numFmt w:val="decimal"/>
      <w:lvlText w:val=""/>
      <w:lvlJc w:val="left"/>
    </w:lvl>
    <w:lvl w:ilvl="8" w:tplc="1444BBBC">
      <w:numFmt w:val="decimal"/>
      <w:lvlText w:val=""/>
      <w:lvlJc w:val="left"/>
    </w:lvl>
  </w:abstractNum>
  <w:num w:numId="1" w16cid:durableId="176892619">
    <w:abstractNumId w:val="2"/>
  </w:num>
  <w:num w:numId="2" w16cid:durableId="548419704">
    <w:abstractNumId w:val="4"/>
  </w:num>
  <w:num w:numId="3" w16cid:durableId="854537740">
    <w:abstractNumId w:val="1"/>
  </w:num>
  <w:num w:numId="4" w16cid:durableId="169377233">
    <w:abstractNumId w:val="3"/>
  </w:num>
  <w:num w:numId="5" w16cid:durableId="436995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1E0"/>
    <w:rsid w:val="000D4FDC"/>
    <w:rsid w:val="002F5C03"/>
    <w:rsid w:val="00423C20"/>
    <w:rsid w:val="00626F02"/>
    <w:rsid w:val="006D0736"/>
    <w:rsid w:val="00D801E0"/>
    <w:rsid w:val="00DF5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0D803"/>
  <w15:docId w15:val="{A898E800-E962-405B-99D3-63EEDB6DF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character" w:styleId="Hyperlink">
    <w:name w:val="Hyperlink"/>
    <w:basedOn w:val="DefaultParagraphFont"/>
    <w:uiPriority w:val="99"/>
    <w:unhideWhenUsed/>
    <w:rsid w:val="00423C2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doctorvermeille.com" TargetMode="External"/><Relationship Id="rId3" Type="http://schemas.openxmlformats.org/officeDocument/2006/relationships/settings" Target="settings.xml"/><Relationship Id="rId7" Type="http://schemas.openxmlformats.org/officeDocument/2006/relationships/hyperlink" Target="https://go.openathens.net/redirector/nu.edu?ur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torvermeillebooks.com" TargetMode="External"/><Relationship Id="rId5" Type="http://schemas.openxmlformats.org/officeDocument/2006/relationships/hyperlink" Target="https://doctorvermeill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1228</Words>
  <Characters>7004</Characters>
  <Application>Microsoft Office Word</Application>
  <DocSecurity>0</DocSecurity>
  <Lines>58</Lines>
  <Paragraphs>16</Paragraphs>
  <ScaleCrop>false</ScaleCrop>
  <Company/>
  <LinksUpToDate>false</LinksUpToDate>
  <CharactersWithSpaces>8216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Joseph Vermeille</cp:lastModifiedBy>
  <cp:revision>2</cp:revision>
  <dcterms:created xsi:type="dcterms:W3CDTF">2025-07-20T00:48:00Z</dcterms:created>
  <dcterms:modified xsi:type="dcterms:W3CDTF">2025-07-20T00:48:00Z</dcterms:modified>
</cp:coreProperties>
</file>